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9C" w:rsidRDefault="00116B9C" w:rsidP="00B94C9F">
      <w:pPr>
        <w:ind w:left="360" w:right="360"/>
        <w:jc w:val="center"/>
        <w:rPr>
          <w:rFonts w:ascii="Calibri" w:hAnsi="Calibri" w:cs="Calibri"/>
          <w:b/>
          <w:bCs/>
          <w:color w:val="2F2B20"/>
        </w:rPr>
      </w:pPr>
    </w:p>
    <w:p w:rsidR="00B94C9F" w:rsidRPr="005715C8" w:rsidRDefault="00B94C9F" w:rsidP="00B94C9F">
      <w:pPr>
        <w:ind w:left="360" w:right="360"/>
        <w:jc w:val="center"/>
        <w:rPr>
          <w:rFonts w:ascii="Calibri" w:hAnsi="Calibri" w:cs="Calibri"/>
          <w:b/>
          <w:bCs/>
          <w:color w:val="2F2B20"/>
        </w:rPr>
      </w:pPr>
      <w:r w:rsidRPr="005715C8">
        <w:rPr>
          <w:rFonts w:ascii="Calibri" w:hAnsi="Calibri" w:cs="Calibri"/>
          <w:b/>
          <w:bCs/>
          <w:color w:val="2F2B20"/>
        </w:rPr>
        <w:t xml:space="preserve">(Corpulence &amp; Coronary—Part </w:t>
      </w:r>
      <w:r w:rsidR="00DF461D">
        <w:rPr>
          <w:rFonts w:ascii="Calibri" w:hAnsi="Calibri" w:cs="Calibri"/>
          <w:b/>
          <w:bCs/>
          <w:color w:val="2F2B20"/>
        </w:rPr>
        <w:t>I</w:t>
      </w:r>
      <w:bookmarkStart w:id="0" w:name="_GoBack"/>
      <w:bookmarkEnd w:id="0"/>
      <w:r>
        <w:rPr>
          <w:rFonts w:ascii="Calibri" w:hAnsi="Calibri" w:cs="Calibri"/>
          <w:b/>
          <w:bCs/>
          <w:color w:val="2F2B20"/>
        </w:rPr>
        <w:t>I</w:t>
      </w:r>
      <w:r w:rsidRPr="005715C8">
        <w:rPr>
          <w:rFonts w:ascii="Calibri" w:hAnsi="Calibri" w:cs="Calibri"/>
          <w:b/>
          <w:bCs/>
          <w:color w:val="2F2B20"/>
        </w:rPr>
        <w:t>I)</w:t>
      </w:r>
    </w:p>
    <w:p w:rsidR="00B94C9F" w:rsidRDefault="00B94C9F" w:rsidP="00B94C9F">
      <w:pPr>
        <w:ind w:left="360" w:right="360"/>
        <w:jc w:val="center"/>
        <w:rPr>
          <w:rFonts w:ascii="Calibri" w:hAnsi="Calibri" w:cs="Calibri"/>
          <w:b/>
          <w:bCs/>
          <w:color w:val="2F2B20"/>
          <w:sz w:val="36"/>
          <w:szCs w:val="36"/>
        </w:rPr>
      </w:pPr>
      <w:r w:rsidRPr="00310898">
        <w:rPr>
          <w:rFonts w:ascii="Calibri" w:hAnsi="Calibri" w:cs="Calibri"/>
          <w:b/>
          <w:bCs/>
          <w:color w:val="2F2B20"/>
          <w:sz w:val="36"/>
          <w:szCs w:val="36"/>
        </w:rPr>
        <w:t xml:space="preserve">The Upper Gut Food Pyramid is </w:t>
      </w:r>
      <w:r>
        <w:rPr>
          <w:rFonts w:ascii="Calibri" w:hAnsi="Calibri" w:cs="Calibri"/>
          <w:b/>
          <w:bCs/>
          <w:color w:val="2F2B20"/>
          <w:sz w:val="36"/>
          <w:szCs w:val="36"/>
        </w:rPr>
        <w:t>R</w:t>
      </w:r>
      <w:r w:rsidRPr="00310898">
        <w:rPr>
          <w:rFonts w:ascii="Calibri" w:hAnsi="Calibri" w:cs="Calibri"/>
          <w:b/>
          <w:bCs/>
          <w:color w:val="2F2B20"/>
          <w:sz w:val="36"/>
          <w:szCs w:val="36"/>
        </w:rPr>
        <w:t>ecognized &amp;</w:t>
      </w:r>
      <w:r>
        <w:rPr>
          <w:rFonts w:ascii="Calibri" w:hAnsi="Calibri" w:cs="Calibri"/>
          <w:b/>
          <w:bCs/>
          <w:color w:val="2F2B20"/>
          <w:sz w:val="36"/>
          <w:szCs w:val="36"/>
        </w:rPr>
        <w:t xml:space="preserve"> </w:t>
      </w:r>
      <w:r w:rsidRPr="00310898">
        <w:rPr>
          <w:rFonts w:ascii="Calibri" w:hAnsi="Calibri" w:cs="Calibri"/>
          <w:b/>
          <w:bCs/>
          <w:color w:val="2F2B20"/>
          <w:sz w:val="36"/>
          <w:szCs w:val="36"/>
        </w:rPr>
        <w:t>Respected—The Lower Gut Equivalent has been Ov</w:t>
      </w:r>
      <w:r>
        <w:rPr>
          <w:rFonts w:ascii="Calibri" w:hAnsi="Calibri" w:cs="Calibri"/>
          <w:b/>
          <w:bCs/>
          <w:color w:val="2F2B20"/>
          <w:sz w:val="36"/>
          <w:szCs w:val="36"/>
        </w:rPr>
        <w:t>e</w:t>
      </w:r>
      <w:r w:rsidRPr="00310898">
        <w:rPr>
          <w:rFonts w:ascii="Calibri" w:hAnsi="Calibri" w:cs="Calibri"/>
          <w:b/>
          <w:bCs/>
          <w:color w:val="2F2B20"/>
          <w:sz w:val="36"/>
          <w:szCs w:val="36"/>
        </w:rPr>
        <w:t>rlooked and Ignored</w:t>
      </w:r>
      <w:r>
        <w:rPr>
          <w:rFonts w:ascii="Calibri" w:hAnsi="Calibri" w:cs="Calibri"/>
          <w:b/>
          <w:bCs/>
          <w:color w:val="2F2B20"/>
          <w:sz w:val="36"/>
          <w:szCs w:val="36"/>
        </w:rPr>
        <w:t>—</w:t>
      </w:r>
      <w:r w:rsidRPr="00310898">
        <w:rPr>
          <w:rFonts w:ascii="Calibri" w:hAnsi="Calibri" w:cs="Calibri"/>
          <w:b/>
          <w:bCs/>
          <w:color w:val="2F2B20"/>
          <w:sz w:val="36"/>
          <w:szCs w:val="36"/>
        </w:rPr>
        <w:t>Disastrous</w:t>
      </w:r>
      <w:r>
        <w:rPr>
          <w:rFonts w:ascii="Calibri" w:hAnsi="Calibri" w:cs="Calibri"/>
          <w:b/>
          <w:bCs/>
          <w:color w:val="2F2B20"/>
          <w:sz w:val="36"/>
          <w:szCs w:val="36"/>
        </w:rPr>
        <w:t xml:space="preserve"> </w:t>
      </w:r>
    </w:p>
    <w:p w:rsidR="00B94C9F" w:rsidRPr="00310898" w:rsidRDefault="00B94C9F" w:rsidP="00B94C9F">
      <w:pPr>
        <w:ind w:left="360" w:right="360"/>
        <w:jc w:val="center"/>
        <w:rPr>
          <w:rFonts w:ascii="Calibri" w:hAnsi="Calibri" w:cs="Calibri"/>
          <w:b/>
          <w:bCs/>
          <w:color w:val="2F2B20"/>
          <w:sz w:val="20"/>
          <w:szCs w:val="20"/>
        </w:rPr>
      </w:pPr>
      <w:r>
        <w:rPr>
          <w:rFonts w:ascii="Calibri" w:hAnsi="Calibri" w:cs="Calibri"/>
          <w:b/>
          <w:bCs/>
          <w:color w:val="2F2B20"/>
          <w:sz w:val="20"/>
          <w:szCs w:val="20"/>
        </w:rPr>
        <w:t xml:space="preserve">Brian </w:t>
      </w:r>
      <w:r w:rsidRPr="002A5811">
        <w:rPr>
          <w:rFonts w:ascii="Calibri" w:hAnsi="Calibri" w:cs="Calibri"/>
          <w:b/>
          <w:bCs/>
          <w:color w:val="2F2B20"/>
          <w:sz w:val="20"/>
          <w:szCs w:val="20"/>
        </w:rPr>
        <w:t xml:space="preserve">Bull M.D.  ‘Winter Wednesdays’, </w:t>
      </w:r>
      <w:r>
        <w:rPr>
          <w:rFonts w:ascii="Calibri" w:hAnsi="Calibri" w:cs="Calibri"/>
          <w:b/>
          <w:bCs/>
          <w:color w:val="2F2B20"/>
          <w:sz w:val="20"/>
          <w:szCs w:val="20"/>
        </w:rPr>
        <w:t xml:space="preserve">LL </w:t>
      </w:r>
      <w:r w:rsidRPr="002A5811">
        <w:rPr>
          <w:rFonts w:ascii="Calibri" w:hAnsi="Calibri" w:cs="Calibri"/>
          <w:b/>
          <w:bCs/>
          <w:color w:val="2F2B20"/>
          <w:sz w:val="20"/>
          <w:szCs w:val="20"/>
        </w:rPr>
        <w:t>University Church</w:t>
      </w:r>
      <w:r>
        <w:rPr>
          <w:rFonts w:ascii="Calibri" w:hAnsi="Calibri" w:cs="Calibri"/>
          <w:b/>
          <w:bCs/>
          <w:color w:val="2F2B20"/>
          <w:sz w:val="20"/>
          <w:szCs w:val="20"/>
        </w:rPr>
        <w:t xml:space="preserve"> 2018.</w:t>
      </w:r>
    </w:p>
    <w:p w:rsidR="00B94C9F" w:rsidRPr="00442E04" w:rsidRDefault="00B94C9F" w:rsidP="00FD4DEA">
      <w:pPr>
        <w:tabs>
          <w:tab w:val="left" w:pos="120"/>
          <w:tab w:val="left" w:pos="240"/>
          <w:tab w:val="left" w:pos="360"/>
        </w:tabs>
        <w:spacing w:after="6"/>
        <w:ind w:left="120" w:right="120"/>
        <w:jc w:val="both"/>
        <w:rPr>
          <w:rFonts w:ascii="Calibri" w:hAnsi="Calibri" w:cs="Calibri"/>
          <w:b/>
          <w:bCs/>
          <w:sz w:val="28"/>
          <w:szCs w:val="28"/>
        </w:rPr>
      </w:pPr>
      <w:r w:rsidRPr="00442E04">
        <w:rPr>
          <w:rFonts w:ascii="Calibri" w:hAnsi="Calibri" w:cs="Calibri"/>
          <w:b/>
          <w:bCs/>
          <w:sz w:val="28"/>
          <w:szCs w:val="28"/>
        </w:rPr>
        <w:t xml:space="preserve">  Synopsis</w:t>
      </w:r>
    </w:p>
    <w:p w:rsidR="00B94C9F" w:rsidRPr="00B94C9F" w:rsidRDefault="00B94C9F" w:rsidP="00FD4DEA">
      <w:pPr>
        <w:numPr>
          <w:ilvl w:val="0"/>
          <w:numId w:val="1"/>
        </w:numPr>
        <w:spacing w:after="6" w:line="240" w:lineRule="auto"/>
        <w:ind w:left="605" w:right="274" w:hanging="245"/>
        <w:jc w:val="both"/>
        <w:rPr>
          <w:rFonts w:ascii="Calibri" w:hAnsi="Calibri" w:cs="Calibri"/>
          <w:sz w:val="26"/>
          <w:szCs w:val="26"/>
        </w:rPr>
      </w:pPr>
      <w:r w:rsidRPr="00B94C9F">
        <w:rPr>
          <w:rFonts w:ascii="Calibri" w:hAnsi="Calibri" w:cs="Calibri"/>
          <w:sz w:val="26"/>
          <w:szCs w:val="26"/>
        </w:rPr>
        <w:t>The “nutritive value” of food is expressed in terms of carbohydrates, proteins and fats. Digestive enzymes release these “nutrients” from “food” which are then absorbed in the small intestine (upper gut).</w:t>
      </w:r>
    </w:p>
    <w:p w:rsidR="00B94C9F" w:rsidRPr="00B94C9F" w:rsidRDefault="00B94C9F" w:rsidP="00FD4DEA">
      <w:pPr>
        <w:numPr>
          <w:ilvl w:val="0"/>
          <w:numId w:val="1"/>
        </w:numPr>
        <w:spacing w:after="6" w:line="240" w:lineRule="auto"/>
        <w:ind w:left="605" w:right="274" w:hanging="245"/>
        <w:jc w:val="both"/>
        <w:rPr>
          <w:rFonts w:ascii="Calibri" w:hAnsi="Calibri" w:cs="Calibri"/>
          <w:sz w:val="26"/>
          <w:szCs w:val="26"/>
        </w:rPr>
      </w:pPr>
      <w:r w:rsidRPr="00B94C9F">
        <w:rPr>
          <w:rFonts w:ascii="Calibri" w:hAnsi="Calibri" w:cs="Calibri"/>
          <w:sz w:val="26"/>
          <w:szCs w:val="26"/>
        </w:rPr>
        <w:t>There are no equivalent</w:t>
      </w:r>
      <w:r w:rsidR="001F0C5A">
        <w:rPr>
          <w:rFonts w:ascii="Calibri" w:hAnsi="Calibri" w:cs="Calibri"/>
          <w:sz w:val="26"/>
          <w:szCs w:val="26"/>
        </w:rPr>
        <w:t xml:space="preserve"> “nutrients” for the lower gut.</w:t>
      </w:r>
      <w:r>
        <w:rPr>
          <w:rFonts w:ascii="Calibri" w:hAnsi="Calibri" w:cs="Calibri"/>
          <w:sz w:val="26"/>
          <w:szCs w:val="26"/>
        </w:rPr>
        <w:t xml:space="preserve"> </w:t>
      </w:r>
      <w:r w:rsidRPr="00B94C9F">
        <w:rPr>
          <w:rFonts w:ascii="Calibri" w:hAnsi="Calibri" w:cs="Calibri"/>
          <w:sz w:val="26"/>
          <w:szCs w:val="26"/>
        </w:rPr>
        <w:t xml:space="preserve">Lacking a descriptive term for “lower gut nutrients” it is difficult to remember that a lower gut “food pyramid” exists.  What cannot be named is all too easily ignored. </w:t>
      </w:r>
    </w:p>
    <w:p w:rsidR="00B94C9F" w:rsidRPr="00B94C9F" w:rsidRDefault="00B94C9F" w:rsidP="00FD4DEA">
      <w:pPr>
        <w:numPr>
          <w:ilvl w:val="0"/>
          <w:numId w:val="1"/>
        </w:numPr>
        <w:spacing w:after="6" w:line="240" w:lineRule="auto"/>
        <w:ind w:left="605" w:right="274" w:hanging="245"/>
        <w:jc w:val="both"/>
        <w:rPr>
          <w:rFonts w:ascii="Calibri" w:hAnsi="Calibri" w:cs="Calibri"/>
          <w:sz w:val="26"/>
          <w:szCs w:val="26"/>
        </w:rPr>
      </w:pPr>
      <w:r w:rsidRPr="00B94C9F">
        <w:rPr>
          <w:rFonts w:ascii="Calibri" w:hAnsi="Calibri" w:cs="Calibri"/>
          <w:sz w:val="26"/>
          <w:szCs w:val="26"/>
        </w:rPr>
        <w:t xml:space="preserve">We will spend this entire lecture addressing this oversight and </w:t>
      </w:r>
      <w:r w:rsidR="001F0C5A">
        <w:rPr>
          <w:rFonts w:ascii="Calibri" w:hAnsi="Calibri" w:cs="Calibri"/>
          <w:sz w:val="26"/>
          <w:szCs w:val="26"/>
        </w:rPr>
        <w:t xml:space="preserve">we will </w:t>
      </w:r>
      <w:r w:rsidR="00FD4DEA">
        <w:rPr>
          <w:rFonts w:ascii="Calibri" w:hAnsi="Calibri" w:cs="Calibri"/>
          <w:sz w:val="26"/>
          <w:szCs w:val="26"/>
        </w:rPr>
        <w:t>start</w:t>
      </w:r>
      <w:r w:rsidRPr="00B94C9F">
        <w:rPr>
          <w:rFonts w:ascii="Calibri" w:hAnsi="Calibri" w:cs="Calibri"/>
          <w:sz w:val="26"/>
          <w:szCs w:val="26"/>
        </w:rPr>
        <w:t xml:space="preserve"> by giving the “nutrients” of the lower gut a name—</w:t>
      </w:r>
      <w:r w:rsidRPr="00FD4DEA">
        <w:rPr>
          <w:rFonts w:ascii="Calibri" w:hAnsi="Calibri" w:cs="Calibri"/>
          <w:b/>
          <w:i/>
          <w:sz w:val="26"/>
          <w:szCs w:val="26"/>
        </w:rPr>
        <w:t>Microbe Munchies</w:t>
      </w:r>
      <w:r w:rsidRPr="00B94C9F">
        <w:rPr>
          <w:rFonts w:ascii="Calibri" w:hAnsi="Calibri" w:cs="Calibri"/>
          <w:sz w:val="26"/>
          <w:szCs w:val="26"/>
        </w:rPr>
        <w:t>!</w:t>
      </w:r>
    </w:p>
    <w:p w:rsidR="00B94C9F" w:rsidRPr="00B94C9F" w:rsidRDefault="00B94C9F" w:rsidP="00FD4DEA">
      <w:pPr>
        <w:numPr>
          <w:ilvl w:val="0"/>
          <w:numId w:val="1"/>
        </w:numPr>
        <w:spacing w:after="6" w:line="240" w:lineRule="auto"/>
        <w:ind w:left="605" w:right="274" w:hanging="245"/>
        <w:jc w:val="both"/>
        <w:rPr>
          <w:rFonts w:ascii="Calibri" w:hAnsi="Calibri" w:cs="Calibri"/>
          <w:sz w:val="26"/>
          <w:szCs w:val="26"/>
        </w:rPr>
      </w:pPr>
      <w:r w:rsidRPr="00B94C9F">
        <w:rPr>
          <w:rFonts w:ascii="Calibri" w:hAnsi="Calibri" w:cs="Calibri"/>
          <w:sz w:val="26"/>
          <w:szCs w:val="26"/>
        </w:rPr>
        <w:t xml:space="preserve">Most “whole foods” contain microbe munchies along with carbohydrates, proteins and fats. All munchies are complex carbohydrates that humans cannot digest. </w:t>
      </w:r>
      <w:r w:rsidR="00FD4DEA">
        <w:rPr>
          <w:rFonts w:ascii="Calibri" w:hAnsi="Calibri" w:cs="Calibri"/>
          <w:sz w:val="26"/>
          <w:szCs w:val="26"/>
        </w:rPr>
        <w:t xml:space="preserve"> </w:t>
      </w:r>
      <w:r w:rsidRPr="00B94C9F">
        <w:rPr>
          <w:rFonts w:ascii="Calibri" w:hAnsi="Calibri" w:cs="Calibri"/>
          <w:sz w:val="26"/>
          <w:szCs w:val="26"/>
        </w:rPr>
        <w:t>M</w:t>
      </w:r>
      <w:r w:rsidR="00F918BF">
        <w:rPr>
          <w:rFonts w:ascii="Calibri" w:hAnsi="Calibri" w:cs="Calibri"/>
          <w:sz w:val="26"/>
          <w:szCs w:val="26"/>
        </w:rPr>
        <w:t>ost</w:t>
      </w:r>
      <w:r w:rsidRPr="00B94C9F">
        <w:rPr>
          <w:rFonts w:ascii="Calibri" w:hAnsi="Calibri" w:cs="Calibri"/>
          <w:sz w:val="26"/>
          <w:szCs w:val="26"/>
        </w:rPr>
        <w:t xml:space="preserve"> “processed food</w:t>
      </w:r>
      <w:r w:rsidR="001F0C5A">
        <w:rPr>
          <w:rFonts w:ascii="Calibri" w:hAnsi="Calibri" w:cs="Calibri"/>
          <w:sz w:val="26"/>
          <w:szCs w:val="26"/>
        </w:rPr>
        <w:t>s</w:t>
      </w:r>
      <w:r w:rsidRPr="00B94C9F">
        <w:rPr>
          <w:rFonts w:ascii="Calibri" w:hAnsi="Calibri" w:cs="Calibri"/>
          <w:sz w:val="26"/>
          <w:szCs w:val="26"/>
        </w:rPr>
        <w:t>” are notably munchie</w:t>
      </w:r>
      <w:r w:rsidR="00FD4DEA">
        <w:rPr>
          <w:rFonts w:ascii="Calibri" w:hAnsi="Calibri" w:cs="Calibri"/>
          <w:sz w:val="26"/>
          <w:szCs w:val="26"/>
        </w:rPr>
        <w:t>-</w:t>
      </w:r>
      <w:r w:rsidRPr="00B94C9F">
        <w:rPr>
          <w:rFonts w:ascii="Calibri" w:hAnsi="Calibri" w:cs="Calibri"/>
          <w:sz w:val="26"/>
          <w:szCs w:val="26"/>
        </w:rPr>
        <w:t>poor.</w:t>
      </w:r>
    </w:p>
    <w:p w:rsidR="00B94C9F" w:rsidRPr="00B94C9F" w:rsidRDefault="00B94C9F" w:rsidP="00FD4DEA">
      <w:pPr>
        <w:numPr>
          <w:ilvl w:val="0"/>
          <w:numId w:val="1"/>
        </w:numPr>
        <w:spacing w:after="6" w:line="240" w:lineRule="auto"/>
        <w:ind w:left="605" w:right="274" w:hanging="245"/>
        <w:jc w:val="both"/>
        <w:rPr>
          <w:rFonts w:ascii="Calibri" w:hAnsi="Calibri" w:cs="Calibri"/>
          <w:sz w:val="26"/>
          <w:szCs w:val="26"/>
        </w:rPr>
      </w:pPr>
      <w:r w:rsidRPr="00B94C9F">
        <w:rPr>
          <w:rFonts w:ascii="Calibri" w:hAnsi="Calibri" w:cs="Calibri"/>
          <w:sz w:val="26"/>
          <w:szCs w:val="26"/>
        </w:rPr>
        <w:t>Micro</w:t>
      </w:r>
      <w:r w:rsidR="001F0C5A">
        <w:rPr>
          <w:rFonts w:ascii="Calibri" w:hAnsi="Calibri" w:cs="Calibri"/>
          <w:sz w:val="26"/>
          <w:szCs w:val="26"/>
        </w:rPr>
        <w:t>be munchies vary widely in form and</w:t>
      </w:r>
      <w:r w:rsidRPr="00B94C9F">
        <w:rPr>
          <w:rFonts w:ascii="Calibri" w:hAnsi="Calibri" w:cs="Calibri"/>
          <w:sz w:val="26"/>
          <w:szCs w:val="26"/>
        </w:rPr>
        <w:t xml:space="preserve"> are usually tasteless and odorless. They have “gone missing” from the food pyramid over the past 100 years. That disappearance has been largely unnoticed.</w:t>
      </w:r>
    </w:p>
    <w:p w:rsidR="00B94C9F" w:rsidRPr="00B94C9F" w:rsidRDefault="00B94C9F" w:rsidP="00FD4DEA">
      <w:pPr>
        <w:numPr>
          <w:ilvl w:val="0"/>
          <w:numId w:val="1"/>
        </w:numPr>
        <w:spacing w:after="6" w:line="240" w:lineRule="auto"/>
        <w:ind w:left="605" w:right="274" w:hanging="245"/>
        <w:jc w:val="both"/>
        <w:rPr>
          <w:rFonts w:ascii="Calibri" w:hAnsi="Calibri" w:cs="Calibri"/>
          <w:sz w:val="26"/>
          <w:szCs w:val="26"/>
        </w:rPr>
      </w:pPr>
      <w:r w:rsidRPr="00B94C9F">
        <w:rPr>
          <w:rFonts w:ascii="Calibri" w:hAnsi="Calibri" w:cs="Calibri"/>
          <w:sz w:val="26"/>
          <w:szCs w:val="26"/>
        </w:rPr>
        <w:t xml:space="preserve">Examples of microbe munchies </w:t>
      </w:r>
      <w:r w:rsidR="001F0C5A">
        <w:rPr>
          <w:rFonts w:ascii="Calibri" w:hAnsi="Calibri" w:cs="Calibri"/>
          <w:sz w:val="26"/>
          <w:szCs w:val="26"/>
        </w:rPr>
        <w:t>are</w:t>
      </w:r>
      <w:r w:rsidRPr="00B94C9F">
        <w:rPr>
          <w:rFonts w:ascii="Calibri" w:hAnsi="Calibri" w:cs="Calibri"/>
          <w:sz w:val="26"/>
          <w:szCs w:val="26"/>
        </w:rPr>
        <w:t xml:space="preserve"> the vesicle membranes </w:t>
      </w:r>
      <w:r w:rsidR="001F0C5A">
        <w:rPr>
          <w:rFonts w:ascii="Calibri" w:hAnsi="Calibri" w:cs="Calibri"/>
          <w:sz w:val="26"/>
          <w:szCs w:val="26"/>
        </w:rPr>
        <w:t xml:space="preserve">of </w:t>
      </w:r>
      <w:r w:rsidRPr="00B94C9F">
        <w:rPr>
          <w:rFonts w:ascii="Calibri" w:hAnsi="Calibri" w:cs="Calibri"/>
          <w:sz w:val="26"/>
          <w:szCs w:val="26"/>
        </w:rPr>
        <w:t>citrus fruits</w:t>
      </w:r>
      <w:r w:rsidR="00D7775B">
        <w:rPr>
          <w:rFonts w:ascii="Calibri" w:hAnsi="Calibri" w:cs="Calibri"/>
          <w:sz w:val="26"/>
          <w:szCs w:val="26"/>
        </w:rPr>
        <w:t>,</w:t>
      </w:r>
      <w:r w:rsidRPr="00B94C9F">
        <w:rPr>
          <w:rFonts w:ascii="Calibri" w:hAnsi="Calibri" w:cs="Calibri"/>
          <w:sz w:val="26"/>
          <w:szCs w:val="26"/>
        </w:rPr>
        <w:t xml:space="preserve"> or </w:t>
      </w:r>
      <w:r w:rsidR="00F918BF" w:rsidRPr="00B94C9F">
        <w:rPr>
          <w:rFonts w:ascii="Calibri" w:hAnsi="Calibri" w:cs="Calibri"/>
          <w:sz w:val="26"/>
          <w:szCs w:val="26"/>
        </w:rPr>
        <w:t>inulin</w:t>
      </w:r>
      <w:r w:rsidR="00D7775B">
        <w:rPr>
          <w:rFonts w:ascii="Calibri" w:hAnsi="Calibri" w:cs="Calibri"/>
          <w:sz w:val="26"/>
          <w:szCs w:val="26"/>
        </w:rPr>
        <w:t xml:space="preserve">; or </w:t>
      </w:r>
      <w:r w:rsidRPr="00B94C9F">
        <w:rPr>
          <w:rFonts w:ascii="Calibri" w:hAnsi="Calibri" w:cs="Calibri"/>
          <w:sz w:val="26"/>
          <w:szCs w:val="26"/>
        </w:rPr>
        <w:t>the fructose oligosaccharide</w:t>
      </w:r>
      <w:r w:rsidR="00F918BF">
        <w:rPr>
          <w:rFonts w:ascii="Calibri" w:hAnsi="Calibri" w:cs="Calibri"/>
          <w:sz w:val="26"/>
          <w:szCs w:val="26"/>
        </w:rPr>
        <w:t xml:space="preserve"> </w:t>
      </w:r>
      <w:r w:rsidR="00D7775B">
        <w:rPr>
          <w:rFonts w:ascii="Calibri" w:hAnsi="Calibri" w:cs="Calibri"/>
          <w:sz w:val="26"/>
          <w:szCs w:val="26"/>
        </w:rPr>
        <w:t xml:space="preserve">abundant in </w:t>
      </w:r>
      <w:r w:rsidR="00D7775B" w:rsidRPr="00B94C9F">
        <w:rPr>
          <w:rFonts w:ascii="Calibri" w:hAnsi="Calibri" w:cs="Calibri"/>
          <w:sz w:val="26"/>
          <w:szCs w:val="26"/>
        </w:rPr>
        <w:t>Jerusalem artichokes</w:t>
      </w:r>
      <w:r w:rsidR="00D7775B">
        <w:rPr>
          <w:rFonts w:ascii="Calibri" w:hAnsi="Calibri" w:cs="Calibri"/>
          <w:sz w:val="26"/>
          <w:szCs w:val="26"/>
        </w:rPr>
        <w:t xml:space="preserve"> (sunchokes), and present at lower concentrations in vegetables such as </w:t>
      </w:r>
      <w:r w:rsidRPr="00B94C9F">
        <w:rPr>
          <w:rFonts w:ascii="Calibri" w:hAnsi="Calibri" w:cs="Calibri"/>
          <w:sz w:val="26"/>
          <w:szCs w:val="26"/>
        </w:rPr>
        <w:t>regular artichokes</w:t>
      </w:r>
      <w:r w:rsidR="00D7775B">
        <w:rPr>
          <w:rFonts w:ascii="Calibri" w:hAnsi="Calibri" w:cs="Calibri"/>
          <w:sz w:val="26"/>
          <w:szCs w:val="26"/>
        </w:rPr>
        <w:t>, asparagus and onions</w:t>
      </w:r>
      <w:r w:rsidRPr="00B94C9F">
        <w:rPr>
          <w:rFonts w:ascii="Calibri" w:hAnsi="Calibri" w:cs="Calibri"/>
          <w:sz w:val="26"/>
          <w:szCs w:val="26"/>
        </w:rPr>
        <w:t>.</w:t>
      </w:r>
      <w:r w:rsidR="00D7775B">
        <w:rPr>
          <w:rFonts w:ascii="Calibri" w:hAnsi="Calibri" w:cs="Calibri"/>
          <w:sz w:val="26"/>
          <w:szCs w:val="26"/>
        </w:rPr>
        <w:t xml:space="preserve"> </w:t>
      </w:r>
      <w:r w:rsidRPr="00B94C9F">
        <w:rPr>
          <w:rFonts w:ascii="Calibri" w:hAnsi="Calibri" w:cs="Calibri"/>
          <w:sz w:val="26"/>
          <w:szCs w:val="26"/>
        </w:rPr>
        <w:t xml:space="preserve"> Other microbe munchies</w:t>
      </w:r>
      <w:r w:rsidR="00F918BF">
        <w:rPr>
          <w:rFonts w:ascii="Calibri" w:hAnsi="Calibri" w:cs="Calibri"/>
          <w:sz w:val="26"/>
          <w:szCs w:val="26"/>
        </w:rPr>
        <w:t xml:space="preserve"> are not fibrous at all such as</w:t>
      </w:r>
      <w:r w:rsidRPr="00B94C9F">
        <w:rPr>
          <w:rFonts w:ascii="Calibri" w:hAnsi="Calibri" w:cs="Calibri"/>
          <w:sz w:val="26"/>
          <w:szCs w:val="26"/>
        </w:rPr>
        <w:t xml:space="preserve"> </w:t>
      </w:r>
      <w:r w:rsidR="00D7775B">
        <w:rPr>
          <w:rFonts w:ascii="Calibri" w:hAnsi="Calibri" w:cs="Calibri"/>
          <w:sz w:val="26"/>
          <w:szCs w:val="26"/>
        </w:rPr>
        <w:t xml:space="preserve">the </w:t>
      </w:r>
      <w:r w:rsidRPr="00B94C9F">
        <w:rPr>
          <w:rFonts w:ascii="Calibri" w:hAnsi="Calibri" w:cs="Calibri"/>
          <w:sz w:val="26"/>
          <w:szCs w:val="26"/>
        </w:rPr>
        <w:t>oligosaccharides in mother’s milk and the mucin that coats our entire digestive tract.</w:t>
      </w:r>
    </w:p>
    <w:p w:rsidR="00B94C9F" w:rsidRDefault="00B94C9F" w:rsidP="00FD4DEA">
      <w:pPr>
        <w:numPr>
          <w:ilvl w:val="0"/>
          <w:numId w:val="1"/>
        </w:numPr>
        <w:spacing w:after="6" w:line="240" w:lineRule="auto"/>
        <w:ind w:left="605" w:right="274" w:hanging="245"/>
        <w:jc w:val="both"/>
        <w:rPr>
          <w:rFonts w:ascii="Calibri" w:hAnsi="Calibri" w:cs="Calibri"/>
          <w:sz w:val="28"/>
          <w:szCs w:val="28"/>
        </w:rPr>
      </w:pPr>
      <w:r w:rsidRPr="00B94C9F">
        <w:rPr>
          <w:rFonts w:ascii="Calibri" w:hAnsi="Calibri" w:cs="Calibri"/>
          <w:sz w:val="26"/>
          <w:szCs w:val="26"/>
        </w:rPr>
        <w:t>A healthy microbiome is far more important tha</w:t>
      </w:r>
      <w:r w:rsidR="00FD4DEA">
        <w:rPr>
          <w:rFonts w:ascii="Calibri" w:hAnsi="Calibri" w:cs="Calibri"/>
          <w:sz w:val="26"/>
          <w:szCs w:val="26"/>
        </w:rPr>
        <w:t>n</w:t>
      </w:r>
      <w:r w:rsidRPr="00B94C9F">
        <w:rPr>
          <w:rFonts w:ascii="Calibri" w:hAnsi="Calibri" w:cs="Calibri"/>
          <w:sz w:val="26"/>
          <w:szCs w:val="26"/>
        </w:rPr>
        <w:t xml:space="preserve"> we have heretofore acknowledged</w:t>
      </w:r>
      <w:r>
        <w:rPr>
          <w:rFonts w:ascii="Calibri" w:hAnsi="Calibri" w:cs="Calibri"/>
          <w:sz w:val="28"/>
          <w:szCs w:val="28"/>
        </w:rPr>
        <w:t xml:space="preserve">. We would be wise to do </w:t>
      </w:r>
      <w:r w:rsidR="001F0C5A">
        <w:rPr>
          <w:rFonts w:ascii="Calibri" w:hAnsi="Calibri" w:cs="Calibri"/>
          <w:sz w:val="28"/>
          <w:szCs w:val="28"/>
        </w:rPr>
        <w:t>everything</w:t>
      </w:r>
      <w:r>
        <w:rPr>
          <w:rFonts w:ascii="Calibri" w:hAnsi="Calibri" w:cs="Calibri"/>
          <w:sz w:val="28"/>
          <w:szCs w:val="28"/>
        </w:rPr>
        <w:t xml:space="preserve"> necessary to recover it.</w:t>
      </w:r>
    </w:p>
    <w:p w:rsidR="00B94C9F" w:rsidRDefault="00B94C9F" w:rsidP="00FD4DEA">
      <w:pPr>
        <w:tabs>
          <w:tab w:val="left" w:pos="120"/>
          <w:tab w:val="left" w:pos="240"/>
          <w:tab w:val="left" w:pos="360"/>
        </w:tabs>
        <w:spacing w:before="12" w:after="6"/>
        <w:ind w:left="115" w:right="115"/>
        <w:jc w:val="both"/>
        <w:rPr>
          <w:rFonts w:ascii="Calibri" w:hAnsi="Calibri" w:cs="Calibri"/>
          <w:b/>
          <w:bCs/>
          <w:sz w:val="28"/>
          <w:szCs w:val="28"/>
        </w:rPr>
      </w:pPr>
      <w:r w:rsidRPr="00B94C9F">
        <w:rPr>
          <w:rFonts w:ascii="Calibri" w:hAnsi="Calibri" w:cs="Calibri"/>
          <w:b/>
          <w:bCs/>
          <w:sz w:val="28"/>
          <w:szCs w:val="28"/>
        </w:rPr>
        <w:t xml:space="preserve">  </w:t>
      </w:r>
      <w:r>
        <w:rPr>
          <w:rFonts w:ascii="Calibri" w:hAnsi="Calibri" w:cs="Calibri"/>
          <w:b/>
          <w:bCs/>
          <w:sz w:val="28"/>
          <w:szCs w:val="28"/>
        </w:rPr>
        <w:t>References</w:t>
      </w:r>
    </w:p>
    <w:p w:rsidR="001D4901" w:rsidRPr="001D4901" w:rsidRDefault="005B0B0E" w:rsidP="001D4901">
      <w:pPr>
        <w:pStyle w:val="ListParagraph"/>
        <w:numPr>
          <w:ilvl w:val="0"/>
          <w:numId w:val="2"/>
        </w:numPr>
        <w:tabs>
          <w:tab w:val="clear" w:pos="720"/>
          <w:tab w:val="left" w:pos="120"/>
          <w:tab w:val="left" w:pos="240"/>
          <w:tab w:val="left" w:pos="360"/>
          <w:tab w:val="num" w:pos="630"/>
        </w:tabs>
        <w:spacing w:before="12" w:after="6"/>
        <w:ind w:left="630" w:right="270" w:hanging="270"/>
        <w:jc w:val="both"/>
        <w:rPr>
          <w:rFonts w:ascii="Calibri" w:hAnsi="Calibri" w:cs="Calibri"/>
          <w:b/>
          <w:bCs/>
          <w:sz w:val="28"/>
          <w:szCs w:val="28"/>
        </w:rPr>
      </w:pPr>
      <w:r w:rsidRPr="001D4901">
        <w:rPr>
          <w:rFonts w:cs="Arial"/>
          <w:i/>
          <w:color w:val="2A2A2A"/>
          <w:sz w:val="26"/>
          <w:szCs w:val="26"/>
          <w:shd w:val="clear" w:color="auto" w:fill="FFFFFF"/>
        </w:rPr>
        <w:t>Increased consumption of refined carbohydrates and the epidemic of type 2 diabetes in the United States: an ecologic assessment,</w:t>
      </w:r>
      <w:r w:rsidRPr="001D4901">
        <w:rPr>
          <w:rFonts w:ascii="Arial" w:hAnsi="Arial" w:cs="Arial"/>
          <w:color w:val="2A2A2A"/>
          <w:sz w:val="27"/>
          <w:szCs w:val="27"/>
          <w:shd w:val="clear" w:color="auto" w:fill="FFFFFF"/>
        </w:rPr>
        <w:t> </w:t>
      </w:r>
      <w:r w:rsidR="00395B1F" w:rsidRPr="001D4901">
        <w:rPr>
          <w:rFonts w:cs="Arial"/>
          <w:color w:val="2A2A2A"/>
          <w:shd w:val="clear" w:color="auto" w:fill="FFFFFF"/>
        </w:rPr>
        <w:t>Lee S Gross, et al</w:t>
      </w:r>
      <w:r w:rsidR="00395B1F" w:rsidRPr="001D4901">
        <w:rPr>
          <w:rFonts w:cs="Arial"/>
          <w:i/>
          <w:color w:val="2A2A2A"/>
          <w:sz w:val="26"/>
          <w:szCs w:val="26"/>
          <w:shd w:val="clear" w:color="auto" w:fill="FFFFFF"/>
        </w:rPr>
        <w:t xml:space="preserve">. </w:t>
      </w:r>
      <w:r w:rsidRPr="001D4901">
        <w:rPr>
          <w:rStyle w:val="Emphasis"/>
          <w:rFonts w:cs="Arial"/>
          <w:color w:val="2A2A2A"/>
          <w:bdr w:val="none" w:sz="0" w:space="0" w:color="auto" w:frame="1"/>
          <w:shd w:val="clear" w:color="auto" w:fill="FFFFFF"/>
        </w:rPr>
        <w:t>The American Journal of Clinical Nutrition</w:t>
      </w:r>
      <w:r w:rsidRPr="001D4901">
        <w:rPr>
          <w:rFonts w:cs="Arial"/>
          <w:color w:val="2A2A2A"/>
          <w:shd w:val="clear" w:color="auto" w:fill="FFFFFF"/>
        </w:rPr>
        <w:t>, Volume 79, Issue 5, 1 May 2004, Pages 774–77</w:t>
      </w:r>
      <w:r w:rsidR="001D4901">
        <w:rPr>
          <w:rFonts w:cs="Arial"/>
          <w:color w:val="2A2A2A"/>
          <w:shd w:val="clear" w:color="auto" w:fill="FFFFFF"/>
        </w:rPr>
        <w:t>.</w:t>
      </w:r>
    </w:p>
    <w:p w:rsidR="00B94C9F" w:rsidRPr="001D4901" w:rsidRDefault="00395B1F" w:rsidP="001D4901">
      <w:pPr>
        <w:pStyle w:val="ListParagraph"/>
        <w:numPr>
          <w:ilvl w:val="0"/>
          <w:numId w:val="2"/>
        </w:numPr>
        <w:tabs>
          <w:tab w:val="clear" w:pos="720"/>
          <w:tab w:val="left" w:pos="120"/>
          <w:tab w:val="left" w:pos="240"/>
          <w:tab w:val="left" w:pos="360"/>
          <w:tab w:val="num" w:pos="630"/>
        </w:tabs>
        <w:spacing w:before="12" w:after="6"/>
        <w:ind w:left="630" w:right="270" w:hanging="270"/>
        <w:jc w:val="both"/>
        <w:rPr>
          <w:rFonts w:ascii="Calibri" w:hAnsi="Calibri" w:cs="Calibri"/>
          <w:b/>
          <w:bCs/>
          <w:sz w:val="28"/>
          <w:szCs w:val="28"/>
        </w:rPr>
      </w:pPr>
      <w:r w:rsidRPr="00A045E4">
        <w:rPr>
          <w:rFonts w:cs="Calibri"/>
          <w:i/>
          <w:sz w:val="26"/>
          <w:szCs w:val="26"/>
        </w:rPr>
        <w:t>Dietary Fiber Intake and Mortality in the NIH-AARP Diet and Health Study</w:t>
      </w:r>
      <w:r w:rsidRPr="001D4901">
        <w:rPr>
          <w:rFonts w:ascii="Calibri" w:hAnsi="Calibri" w:cs="Calibri"/>
          <w:i/>
          <w:sz w:val="26"/>
          <w:szCs w:val="26"/>
        </w:rPr>
        <w:t xml:space="preserve"> </w:t>
      </w:r>
      <w:r w:rsidRPr="001D4901">
        <w:rPr>
          <w:rFonts w:ascii="Calibri" w:hAnsi="Calibri" w:cs="Calibri"/>
        </w:rPr>
        <w:t>Archives of internal medicine 171.12 (2011): 1061–1068. Park, Yikyung et al. PMC. Web. 31 Jan. 2018.</w:t>
      </w:r>
    </w:p>
    <w:sectPr w:rsidR="00B94C9F" w:rsidRPr="001D4901" w:rsidSect="00B94C9F">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85" w:rsidRDefault="008F2F85" w:rsidP="00121C9E">
      <w:pPr>
        <w:spacing w:after="0" w:line="240" w:lineRule="auto"/>
      </w:pPr>
      <w:r>
        <w:separator/>
      </w:r>
    </w:p>
  </w:endnote>
  <w:endnote w:type="continuationSeparator" w:id="0">
    <w:p w:rsidR="008F2F85" w:rsidRDefault="008F2F85" w:rsidP="0012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85" w:rsidRDefault="008F2F85" w:rsidP="00121C9E">
      <w:pPr>
        <w:spacing w:after="0" w:line="240" w:lineRule="auto"/>
      </w:pPr>
      <w:r>
        <w:separator/>
      </w:r>
    </w:p>
  </w:footnote>
  <w:footnote w:type="continuationSeparator" w:id="0">
    <w:p w:rsidR="008F2F85" w:rsidRDefault="008F2F85" w:rsidP="00121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9E" w:rsidRDefault="008F2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94539" o:spid="_x0000_s2059" type="#_x0000_t75" style="position:absolute;margin-left:0;margin-top:0;width:590.4pt;height:768pt;z-index:-251657216;mso-position-horizontal:center;mso-position-horizontal-relative:margin;mso-position-vertical:center;mso-position-vertical-relative:margin" o:allowincell="f">
          <v:imagedata r:id="rId1" o:title="Bacteria 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9E" w:rsidRDefault="008F2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94540" o:spid="_x0000_s2060" type="#_x0000_t75" style="position:absolute;margin-left:0;margin-top:0;width:590.4pt;height:768pt;z-index:-251656192;mso-position-horizontal:center;mso-position-horizontal-relative:margin;mso-position-vertical:center;mso-position-vertical-relative:margin" o:allowincell="f">
          <v:imagedata r:id="rId1" o:title="Bacteria 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9E" w:rsidRDefault="008F2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94538" o:spid="_x0000_s2058" type="#_x0000_t75" style="position:absolute;margin-left:0;margin-top:0;width:590.4pt;height:768pt;z-index:-251658240;mso-position-horizontal:center;mso-position-horizontal-relative:margin;mso-position-vertical:center;mso-position-vertical-relative:margin" o:allowincell="f">
          <v:imagedata r:id="rId1" o:title="Bacteria 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D6E"/>
    <w:multiLevelType w:val="hybridMultilevel"/>
    <w:tmpl w:val="96A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12860"/>
    <w:multiLevelType w:val="hybridMultilevel"/>
    <w:tmpl w:val="24BEED70"/>
    <w:lvl w:ilvl="0" w:tplc="E5D0FFDE">
      <w:start w:val="1"/>
      <w:numFmt w:val="bullet"/>
      <w:lvlText w:val="•"/>
      <w:lvlJc w:val="left"/>
      <w:pPr>
        <w:tabs>
          <w:tab w:val="num" w:pos="720"/>
        </w:tabs>
        <w:ind w:left="720" w:hanging="360"/>
      </w:pPr>
      <w:rPr>
        <w:rFonts w:ascii="Arial" w:hAnsi="Arial" w:hint="default"/>
        <w:color w:val="auto"/>
      </w:rPr>
    </w:lvl>
    <w:lvl w:ilvl="1" w:tplc="1A5A64D0">
      <w:start w:val="1"/>
      <w:numFmt w:val="bullet"/>
      <w:lvlText w:val="•"/>
      <w:lvlJc w:val="left"/>
      <w:pPr>
        <w:tabs>
          <w:tab w:val="num" w:pos="1440"/>
        </w:tabs>
        <w:ind w:left="1440" w:hanging="360"/>
      </w:pPr>
      <w:rPr>
        <w:rFonts w:ascii="Arial" w:hAnsi="Arial" w:hint="default"/>
      </w:rPr>
    </w:lvl>
    <w:lvl w:ilvl="2" w:tplc="F1C81830" w:tentative="1">
      <w:start w:val="1"/>
      <w:numFmt w:val="bullet"/>
      <w:lvlText w:val="•"/>
      <w:lvlJc w:val="left"/>
      <w:pPr>
        <w:tabs>
          <w:tab w:val="num" w:pos="2160"/>
        </w:tabs>
        <w:ind w:left="2160" w:hanging="360"/>
      </w:pPr>
      <w:rPr>
        <w:rFonts w:ascii="Arial" w:hAnsi="Arial" w:hint="default"/>
      </w:rPr>
    </w:lvl>
    <w:lvl w:ilvl="3" w:tplc="3C46DCD2" w:tentative="1">
      <w:start w:val="1"/>
      <w:numFmt w:val="bullet"/>
      <w:lvlText w:val="•"/>
      <w:lvlJc w:val="left"/>
      <w:pPr>
        <w:tabs>
          <w:tab w:val="num" w:pos="2880"/>
        </w:tabs>
        <w:ind w:left="2880" w:hanging="360"/>
      </w:pPr>
      <w:rPr>
        <w:rFonts w:ascii="Arial" w:hAnsi="Arial" w:hint="default"/>
      </w:rPr>
    </w:lvl>
    <w:lvl w:ilvl="4" w:tplc="FE606F16" w:tentative="1">
      <w:start w:val="1"/>
      <w:numFmt w:val="bullet"/>
      <w:lvlText w:val="•"/>
      <w:lvlJc w:val="left"/>
      <w:pPr>
        <w:tabs>
          <w:tab w:val="num" w:pos="3600"/>
        </w:tabs>
        <w:ind w:left="3600" w:hanging="360"/>
      </w:pPr>
      <w:rPr>
        <w:rFonts w:ascii="Arial" w:hAnsi="Arial" w:hint="default"/>
      </w:rPr>
    </w:lvl>
    <w:lvl w:ilvl="5" w:tplc="1504A772" w:tentative="1">
      <w:start w:val="1"/>
      <w:numFmt w:val="bullet"/>
      <w:lvlText w:val="•"/>
      <w:lvlJc w:val="left"/>
      <w:pPr>
        <w:tabs>
          <w:tab w:val="num" w:pos="4320"/>
        </w:tabs>
        <w:ind w:left="4320" w:hanging="360"/>
      </w:pPr>
      <w:rPr>
        <w:rFonts w:ascii="Arial" w:hAnsi="Arial" w:hint="default"/>
      </w:rPr>
    </w:lvl>
    <w:lvl w:ilvl="6" w:tplc="45DEA756" w:tentative="1">
      <w:start w:val="1"/>
      <w:numFmt w:val="bullet"/>
      <w:lvlText w:val="•"/>
      <w:lvlJc w:val="left"/>
      <w:pPr>
        <w:tabs>
          <w:tab w:val="num" w:pos="5040"/>
        </w:tabs>
        <w:ind w:left="5040" w:hanging="360"/>
      </w:pPr>
      <w:rPr>
        <w:rFonts w:ascii="Arial" w:hAnsi="Arial" w:hint="default"/>
      </w:rPr>
    </w:lvl>
    <w:lvl w:ilvl="7" w:tplc="3BDA7B40" w:tentative="1">
      <w:start w:val="1"/>
      <w:numFmt w:val="bullet"/>
      <w:lvlText w:val="•"/>
      <w:lvlJc w:val="left"/>
      <w:pPr>
        <w:tabs>
          <w:tab w:val="num" w:pos="5760"/>
        </w:tabs>
        <w:ind w:left="5760" w:hanging="360"/>
      </w:pPr>
      <w:rPr>
        <w:rFonts w:ascii="Arial" w:hAnsi="Arial" w:hint="default"/>
      </w:rPr>
    </w:lvl>
    <w:lvl w:ilvl="8" w:tplc="E39ED880" w:tentative="1">
      <w:start w:val="1"/>
      <w:numFmt w:val="bullet"/>
      <w:lvlText w:val="•"/>
      <w:lvlJc w:val="left"/>
      <w:pPr>
        <w:tabs>
          <w:tab w:val="num" w:pos="6480"/>
        </w:tabs>
        <w:ind w:left="6480" w:hanging="360"/>
      </w:pPr>
      <w:rPr>
        <w:rFonts w:ascii="Arial" w:hAnsi="Arial" w:hint="default"/>
      </w:rPr>
    </w:lvl>
  </w:abstractNum>
  <w:abstractNum w:abstractNumId="2">
    <w:nsid w:val="66910EB4"/>
    <w:multiLevelType w:val="hybridMultilevel"/>
    <w:tmpl w:val="965A9922"/>
    <w:lvl w:ilvl="0" w:tplc="DD245E1C">
      <w:start w:val="1"/>
      <w:numFmt w:val="bullet"/>
      <w:lvlText w:val="•"/>
      <w:lvlJc w:val="left"/>
      <w:pPr>
        <w:tabs>
          <w:tab w:val="num" w:pos="600"/>
        </w:tabs>
        <w:ind w:left="600" w:hanging="360"/>
      </w:pPr>
      <w:rPr>
        <w:rFonts w:ascii="Arial" w:hAnsi="Arial" w:hint="default"/>
        <w:color w:val="auto"/>
      </w:rPr>
    </w:lvl>
    <w:lvl w:ilvl="1" w:tplc="060E9F7E">
      <w:start w:val="1"/>
      <w:numFmt w:val="bullet"/>
      <w:lvlText w:val="•"/>
      <w:lvlJc w:val="left"/>
      <w:pPr>
        <w:tabs>
          <w:tab w:val="num" w:pos="1320"/>
        </w:tabs>
        <w:ind w:left="1320" w:hanging="360"/>
      </w:pPr>
      <w:rPr>
        <w:rFonts w:ascii="Arial" w:hAnsi="Arial" w:hint="default"/>
      </w:rPr>
    </w:lvl>
    <w:lvl w:ilvl="2" w:tplc="4FEA3DA8">
      <w:start w:val="1"/>
      <w:numFmt w:val="bullet"/>
      <w:lvlText w:val="•"/>
      <w:lvlJc w:val="left"/>
      <w:pPr>
        <w:tabs>
          <w:tab w:val="num" w:pos="2040"/>
        </w:tabs>
        <w:ind w:left="2040" w:hanging="360"/>
      </w:pPr>
      <w:rPr>
        <w:rFonts w:ascii="Arial" w:hAnsi="Arial" w:hint="default"/>
        <w:color w:val="auto"/>
      </w:rPr>
    </w:lvl>
    <w:lvl w:ilvl="3" w:tplc="4CAE0864" w:tentative="1">
      <w:start w:val="1"/>
      <w:numFmt w:val="bullet"/>
      <w:lvlText w:val="•"/>
      <w:lvlJc w:val="left"/>
      <w:pPr>
        <w:tabs>
          <w:tab w:val="num" w:pos="2760"/>
        </w:tabs>
        <w:ind w:left="2760" w:hanging="360"/>
      </w:pPr>
      <w:rPr>
        <w:rFonts w:ascii="Arial" w:hAnsi="Arial" w:hint="default"/>
      </w:rPr>
    </w:lvl>
    <w:lvl w:ilvl="4" w:tplc="67A80082" w:tentative="1">
      <w:start w:val="1"/>
      <w:numFmt w:val="bullet"/>
      <w:lvlText w:val="•"/>
      <w:lvlJc w:val="left"/>
      <w:pPr>
        <w:tabs>
          <w:tab w:val="num" w:pos="3480"/>
        </w:tabs>
        <w:ind w:left="3480" w:hanging="360"/>
      </w:pPr>
      <w:rPr>
        <w:rFonts w:ascii="Arial" w:hAnsi="Arial" w:hint="default"/>
      </w:rPr>
    </w:lvl>
    <w:lvl w:ilvl="5" w:tplc="BC220600" w:tentative="1">
      <w:start w:val="1"/>
      <w:numFmt w:val="bullet"/>
      <w:lvlText w:val="•"/>
      <w:lvlJc w:val="left"/>
      <w:pPr>
        <w:tabs>
          <w:tab w:val="num" w:pos="4200"/>
        </w:tabs>
        <w:ind w:left="4200" w:hanging="360"/>
      </w:pPr>
      <w:rPr>
        <w:rFonts w:ascii="Arial" w:hAnsi="Arial" w:hint="default"/>
      </w:rPr>
    </w:lvl>
    <w:lvl w:ilvl="6" w:tplc="B21EA12A" w:tentative="1">
      <w:start w:val="1"/>
      <w:numFmt w:val="bullet"/>
      <w:lvlText w:val="•"/>
      <w:lvlJc w:val="left"/>
      <w:pPr>
        <w:tabs>
          <w:tab w:val="num" w:pos="4920"/>
        </w:tabs>
        <w:ind w:left="4920" w:hanging="360"/>
      </w:pPr>
      <w:rPr>
        <w:rFonts w:ascii="Arial" w:hAnsi="Arial" w:hint="default"/>
      </w:rPr>
    </w:lvl>
    <w:lvl w:ilvl="7" w:tplc="48065E76" w:tentative="1">
      <w:start w:val="1"/>
      <w:numFmt w:val="bullet"/>
      <w:lvlText w:val="•"/>
      <w:lvlJc w:val="left"/>
      <w:pPr>
        <w:tabs>
          <w:tab w:val="num" w:pos="5640"/>
        </w:tabs>
        <w:ind w:left="5640" w:hanging="360"/>
      </w:pPr>
      <w:rPr>
        <w:rFonts w:ascii="Arial" w:hAnsi="Arial" w:hint="default"/>
      </w:rPr>
    </w:lvl>
    <w:lvl w:ilvl="8" w:tplc="3A146394" w:tentative="1">
      <w:start w:val="1"/>
      <w:numFmt w:val="bullet"/>
      <w:lvlText w:val="•"/>
      <w:lvlJc w:val="left"/>
      <w:pPr>
        <w:tabs>
          <w:tab w:val="num" w:pos="6360"/>
        </w:tabs>
        <w:ind w:left="636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07"/>
    <w:rsid w:val="0001680D"/>
    <w:rsid w:val="000738A0"/>
    <w:rsid w:val="00075B24"/>
    <w:rsid w:val="00116B9C"/>
    <w:rsid w:val="00121C9E"/>
    <w:rsid w:val="001235C7"/>
    <w:rsid w:val="001D4901"/>
    <w:rsid w:val="001F0C5A"/>
    <w:rsid w:val="001F6F55"/>
    <w:rsid w:val="00365307"/>
    <w:rsid w:val="00395B1F"/>
    <w:rsid w:val="005A14FC"/>
    <w:rsid w:val="005B0B0E"/>
    <w:rsid w:val="007D25F8"/>
    <w:rsid w:val="008F2F85"/>
    <w:rsid w:val="009F1421"/>
    <w:rsid w:val="00A045E4"/>
    <w:rsid w:val="00B11A3D"/>
    <w:rsid w:val="00B94C9F"/>
    <w:rsid w:val="00C91A48"/>
    <w:rsid w:val="00D7775B"/>
    <w:rsid w:val="00DF461D"/>
    <w:rsid w:val="00E40FFA"/>
    <w:rsid w:val="00F918BF"/>
    <w:rsid w:val="00FD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9E"/>
  </w:style>
  <w:style w:type="paragraph" w:styleId="Footer">
    <w:name w:val="footer"/>
    <w:basedOn w:val="Normal"/>
    <w:link w:val="FooterChar"/>
    <w:uiPriority w:val="99"/>
    <w:unhideWhenUsed/>
    <w:rsid w:val="0012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9E"/>
  </w:style>
  <w:style w:type="paragraph" w:styleId="ListParagraph">
    <w:name w:val="List Paragraph"/>
    <w:basedOn w:val="Normal"/>
    <w:uiPriority w:val="34"/>
    <w:qFormat/>
    <w:rsid w:val="00B94C9F"/>
    <w:pPr>
      <w:ind w:left="720"/>
      <w:contextualSpacing/>
    </w:pPr>
  </w:style>
  <w:style w:type="paragraph" w:styleId="BalloonText">
    <w:name w:val="Balloon Text"/>
    <w:basedOn w:val="Normal"/>
    <w:link w:val="BalloonTextChar"/>
    <w:uiPriority w:val="99"/>
    <w:semiHidden/>
    <w:unhideWhenUsed/>
    <w:rsid w:val="0007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24"/>
    <w:rPr>
      <w:rFonts w:ascii="Segoe UI" w:hAnsi="Segoe UI" w:cs="Segoe UI"/>
      <w:sz w:val="18"/>
      <w:szCs w:val="18"/>
    </w:rPr>
  </w:style>
  <w:style w:type="character" w:styleId="Emphasis">
    <w:name w:val="Emphasis"/>
    <w:basedOn w:val="DefaultParagraphFont"/>
    <w:uiPriority w:val="20"/>
    <w:qFormat/>
    <w:rsid w:val="005B0B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9E"/>
  </w:style>
  <w:style w:type="paragraph" w:styleId="Footer">
    <w:name w:val="footer"/>
    <w:basedOn w:val="Normal"/>
    <w:link w:val="FooterChar"/>
    <w:uiPriority w:val="99"/>
    <w:unhideWhenUsed/>
    <w:rsid w:val="0012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9E"/>
  </w:style>
  <w:style w:type="paragraph" w:styleId="ListParagraph">
    <w:name w:val="List Paragraph"/>
    <w:basedOn w:val="Normal"/>
    <w:uiPriority w:val="34"/>
    <w:qFormat/>
    <w:rsid w:val="00B94C9F"/>
    <w:pPr>
      <w:ind w:left="720"/>
      <w:contextualSpacing/>
    </w:pPr>
  </w:style>
  <w:style w:type="paragraph" w:styleId="BalloonText">
    <w:name w:val="Balloon Text"/>
    <w:basedOn w:val="Normal"/>
    <w:link w:val="BalloonTextChar"/>
    <w:uiPriority w:val="99"/>
    <w:semiHidden/>
    <w:unhideWhenUsed/>
    <w:rsid w:val="0007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24"/>
    <w:rPr>
      <w:rFonts w:ascii="Segoe UI" w:hAnsi="Segoe UI" w:cs="Segoe UI"/>
      <w:sz w:val="18"/>
      <w:szCs w:val="18"/>
    </w:rPr>
  </w:style>
  <w:style w:type="character" w:styleId="Emphasis">
    <w:name w:val="Emphasis"/>
    <w:basedOn w:val="DefaultParagraphFont"/>
    <w:uiPriority w:val="20"/>
    <w:qFormat/>
    <w:rsid w:val="005B0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y.LLU\Documents\Custom%20Office%20Templates\Bacterial%20Waterma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8C06-E5F9-406F-8600-51F270CB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Bacterial Watermark Template</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LLUMC</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Karen (LLU)</dc:creator>
  <cp:lastModifiedBy>Bull, Brian</cp:lastModifiedBy>
  <cp:revision>4</cp:revision>
  <cp:lastPrinted>2018-01-31T21:49:00Z</cp:lastPrinted>
  <dcterms:created xsi:type="dcterms:W3CDTF">2018-02-01T00:19:00Z</dcterms:created>
  <dcterms:modified xsi:type="dcterms:W3CDTF">2018-02-05T19:11:00Z</dcterms:modified>
</cp:coreProperties>
</file>